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6B90" w14:textId="644FE010" w:rsidR="005A014A" w:rsidRDefault="005A014A" w:rsidP="005A014A">
      <w:pPr>
        <w:pStyle w:val="NormalWeb"/>
        <w:spacing w:before="0" w:beforeAutospacing="0" w:after="225" w:afterAutospacing="0"/>
        <w:rPr>
          <w:rFonts w:ascii="Helvetica" w:hAnsi="Helvetica" w:cs="Helvetica"/>
          <w:color w:val="494949"/>
          <w:sz w:val="21"/>
          <w:szCs w:val="21"/>
        </w:rPr>
      </w:pPr>
      <w:r>
        <w:rPr>
          <w:rFonts w:ascii="Helvetica" w:hAnsi="Helvetica" w:cs="Helvetica"/>
          <w:color w:val="494949"/>
          <w:sz w:val="21"/>
          <w:szCs w:val="21"/>
        </w:rPr>
        <w:t>The Montana Prescription Drug Registry (MPDR) provides a list of controlled substances dispensed to patients and permits authorized users to access the information for the purpose of improving patient safety, including the identification of possible misuse or diversion of controlled substances.</w:t>
      </w:r>
      <w:r w:rsidR="00890B87">
        <w:rPr>
          <w:rFonts w:ascii="Helvetica" w:hAnsi="Helvetica" w:cs="Helvetica"/>
          <w:color w:val="494949"/>
          <w:sz w:val="21"/>
          <w:szCs w:val="21"/>
        </w:rPr>
        <w:t xml:space="preserve"> The MPDR is hosted by PMP </w:t>
      </w:r>
      <w:proofErr w:type="spellStart"/>
      <w:r w:rsidR="00890B87">
        <w:rPr>
          <w:rFonts w:ascii="Helvetica" w:hAnsi="Helvetica" w:cs="Helvetica"/>
          <w:color w:val="494949"/>
          <w:sz w:val="21"/>
          <w:szCs w:val="21"/>
        </w:rPr>
        <w:t>AWARxE</w:t>
      </w:r>
      <w:proofErr w:type="spellEnd"/>
      <w:r w:rsidR="00890B87">
        <w:rPr>
          <w:rFonts w:ascii="Helvetica" w:hAnsi="Helvetica" w:cs="Helvetica"/>
          <w:color w:val="494949"/>
          <w:sz w:val="21"/>
          <w:szCs w:val="21"/>
        </w:rPr>
        <w:t>.</w:t>
      </w:r>
    </w:p>
    <w:p w14:paraId="6B8101DE" w14:textId="685FD385" w:rsidR="005A014A" w:rsidRDefault="005A014A" w:rsidP="0071404A">
      <w:pPr>
        <w:pStyle w:val="NormalWeb"/>
        <w:spacing w:before="0" w:beforeAutospacing="0" w:after="0" w:afterAutospacing="0"/>
        <w:rPr>
          <w:rStyle w:val="Strong"/>
          <w:rFonts w:ascii="Helvetica" w:hAnsi="Helvetica" w:cs="Helvetica"/>
          <w:color w:val="494949"/>
          <w:sz w:val="21"/>
          <w:szCs w:val="21"/>
          <w:u w:val="single"/>
        </w:rPr>
      </w:pPr>
      <w:r>
        <w:rPr>
          <w:rStyle w:val="Strong"/>
          <w:rFonts w:ascii="Helvetica" w:hAnsi="Helvetica" w:cs="Helvetica"/>
          <w:color w:val="494949"/>
          <w:sz w:val="21"/>
          <w:szCs w:val="21"/>
          <w:u w:val="single"/>
        </w:rPr>
        <w:t xml:space="preserve">How to register with the MPDR: </w:t>
      </w:r>
    </w:p>
    <w:p w14:paraId="3F428662" w14:textId="77777777" w:rsidR="00890B87" w:rsidRDefault="00890B87" w:rsidP="0071404A">
      <w:pPr>
        <w:pStyle w:val="NormalWeb"/>
        <w:spacing w:before="0" w:beforeAutospacing="0" w:after="0" w:afterAutospacing="0"/>
        <w:rPr>
          <w:rFonts w:ascii="Helvetica" w:hAnsi="Helvetica" w:cs="Helvetica"/>
          <w:color w:val="494949"/>
          <w:sz w:val="21"/>
          <w:szCs w:val="21"/>
        </w:rPr>
      </w:pPr>
    </w:p>
    <w:p w14:paraId="4F3195B6" w14:textId="77777777" w:rsidR="005A014A" w:rsidRDefault="005A014A" w:rsidP="00590B39">
      <w:pPr>
        <w:numPr>
          <w:ilvl w:val="0"/>
          <w:numId w:val="2"/>
        </w:numPr>
        <w:rPr>
          <w:rFonts w:ascii="Helvetica" w:eastAsia="Times New Roman" w:hAnsi="Helvetica" w:cs="Helvetica"/>
          <w:color w:val="494949"/>
          <w:sz w:val="21"/>
          <w:szCs w:val="21"/>
        </w:rPr>
      </w:pPr>
      <w:r>
        <w:rPr>
          <w:rFonts w:ascii="Helvetica" w:eastAsia="Times New Roman" w:hAnsi="Helvetica" w:cs="Helvetica"/>
          <w:color w:val="494949"/>
          <w:sz w:val="21"/>
          <w:szCs w:val="21"/>
        </w:rPr>
        <w:t xml:space="preserve">Go to </w:t>
      </w:r>
      <w:hyperlink r:id="rId7" w:history="1">
        <w:r>
          <w:rPr>
            <w:rStyle w:val="Hyperlink"/>
            <w:rFonts w:ascii="Helvetica" w:eastAsia="Times New Roman" w:hAnsi="Helvetica" w:cs="Helvetica"/>
            <w:color w:val="1871BC"/>
            <w:sz w:val="21"/>
            <w:szCs w:val="21"/>
          </w:rPr>
          <w:t xml:space="preserve">MPDR PMP </w:t>
        </w:r>
        <w:proofErr w:type="spellStart"/>
        <w:r>
          <w:rPr>
            <w:rStyle w:val="Hyperlink"/>
            <w:rFonts w:ascii="Helvetica" w:eastAsia="Times New Roman" w:hAnsi="Helvetica" w:cs="Helvetica"/>
            <w:color w:val="1871BC"/>
            <w:sz w:val="21"/>
            <w:szCs w:val="21"/>
          </w:rPr>
          <w:t>AWARxE</w:t>
        </w:r>
        <w:proofErr w:type="spellEnd"/>
        <w:r>
          <w:rPr>
            <w:rStyle w:val="Hyperlink"/>
            <w:rFonts w:ascii="Helvetica" w:eastAsia="Times New Roman" w:hAnsi="Helvetica" w:cs="Helvetica"/>
            <w:color w:val="1871BC"/>
            <w:sz w:val="21"/>
            <w:szCs w:val="21"/>
          </w:rPr>
          <w:t xml:space="preserve"> [montana.pmpaware.net] </w:t>
        </w:r>
      </w:hyperlink>
      <w:r>
        <w:rPr>
          <w:rFonts w:ascii="Helvetica" w:eastAsia="Times New Roman" w:hAnsi="Helvetica" w:cs="Helvetica"/>
          <w:color w:val="494949"/>
          <w:sz w:val="21"/>
          <w:szCs w:val="21"/>
        </w:rPr>
        <w:t> </w:t>
      </w:r>
    </w:p>
    <w:p w14:paraId="3F70332E" w14:textId="690C7636" w:rsidR="005A014A" w:rsidRPr="005A014A" w:rsidRDefault="005A014A" w:rsidP="00590B39">
      <w:pPr>
        <w:numPr>
          <w:ilvl w:val="1"/>
          <w:numId w:val="2"/>
        </w:numPr>
        <w:rPr>
          <w:rFonts w:ascii="Helvetica" w:eastAsia="Times New Roman" w:hAnsi="Helvetica" w:cs="Helvetica"/>
          <w:color w:val="494949"/>
          <w:sz w:val="21"/>
          <w:szCs w:val="21"/>
        </w:rPr>
      </w:pPr>
      <w:r>
        <w:rPr>
          <w:rFonts w:ascii="Helvetica" w:eastAsia="Times New Roman" w:hAnsi="Helvetica" w:cs="Helvetica"/>
          <w:color w:val="494949"/>
          <w:sz w:val="21"/>
          <w:szCs w:val="21"/>
        </w:rPr>
        <w:t>Choose “Create an Account”. When entering your professional license number, please include letters and dashes.</w:t>
      </w:r>
    </w:p>
    <w:p w14:paraId="6364709F" w14:textId="07180478" w:rsidR="005A014A" w:rsidRDefault="005A014A" w:rsidP="00590B39">
      <w:pPr>
        <w:numPr>
          <w:ilvl w:val="0"/>
          <w:numId w:val="2"/>
        </w:numPr>
        <w:rPr>
          <w:rFonts w:ascii="Helvetica" w:eastAsia="Times New Roman" w:hAnsi="Helvetica" w:cs="Helvetica"/>
          <w:color w:val="494949"/>
          <w:sz w:val="21"/>
          <w:szCs w:val="21"/>
        </w:rPr>
      </w:pPr>
      <w:r>
        <w:rPr>
          <w:rFonts w:ascii="Helvetica" w:eastAsia="Times New Roman" w:hAnsi="Helvetica" w:cs="Helvetica"/>
          <w:color w:val="494949"/>
          <w:sz w:val="21"/>
          <w:szCs w:val="21"/>
        </w:rPr>
        <w:t xml:space="preserve">Complete your </w:t>
      </w:r>
      <w:proofErr w:type="spellStart"/>
      <w:r>
        <w:rPr>
          <w:rFonts w:ascii="Helvetica" w:eastAsia="Times New Roman" w:hAnsi="Helvetica" w:cs="Helvetica"/>
          <w:color w:val="494949"/>
          <w:sz w:val="21"/>
          <w:szCs w:val="21"/>
        </w:rPr>
        <w:t>AWARxE</w:t>
      </w:r>
      <w:proofErr w:type="spellEnd"/>
      <w:r>
        <w:rPr>
          <w:rFonts w:ascii="Helvetica" w:eastAsia="Times New Roman" w:hAnsi="Helvetica" w:cs="Helvetica"/>
          <w:color w:val="494949"/>
          <w:sz w:val="21"/>
          <w:szCs w:val="21"/>
        </w:rPr>
        <w:t xml:space="preserve"> profile (required fields are marked with a red asterisk </w:t>
      </w:r>
      <w:r>
        <w:rPr>
          <w:rStyle w:val="Strong"/>
          <w:rFonts w:ascii="Helvetica" w:eastAsia="Times New Roman" w:hAnsi="Helvetica" w:cs="Helvetica"/>
          <w:i/>
          <w:iCs/>
          <w:color w:val="494949"/>
          <w:sz w:val="21"/>
          <w:szCs w:val="21"/>
        </w:rPr>
        <w:t>*</w:t>
      </w:r>
      <w:r>
        <w:rPr>
          <w:rFonts w:ascii="Helvetica" w:eastAsia="Times New Roman" w:hAnsi="Helvetica" w:cs="Helvetica"/>
          <w:color w:val="494949"/>
          <w:sz w:val="21"/>
          <w:szCs w:val="21"/>
        </w:rPr>
        <w:t>):</w:t>
      </w:r>
    </w:p>
    <w:p w14:paraId="1F415DE7" w14:textId="77777777" w:rsidR="005A014A" w:rsidRDefault="005A014A" w:rsidP="00590B39">
      <w:pPr>
        <w:numPr>
          <w:ilvl w:val="1"/>
          <w:numId w:val="2"/>
        </w:numPr>
        <w:rPr>
          <w:rFonts w:ascii="Helvetica" w:eastAsia="Times New Roman" w:hAnsi="Helvetica" w:cs="Helvetica"/>
          <w:color w:val="494949"/>
          <w:sz w:val="21"/>
          <w:szCs w:val="21"/>
        </w:rPr>
      </w:pPr>
      <w:r>
        <w:rPr>
          <w:rFonts w:ascii="Helvetica" w:eastAsia="Times New Roman" w:hAnsi="Helvetica" w:cs="Helvetica"/>
          <w:color w:val="494949"/>
          <w:sz w:val="21"/>
          <w:szCs w:val="21"/>
        </w:rPr>
        <w:t xml:space="preserve">For prescribers, adding your DEA number allows you to use the </w:t>
      </w:r>
      <w:r>
        <w:rPr>
          <w:rStyle w:val="Emphasis"/>
          <w:rFonts w:ascii="Helvetica" w:eastAsia="Times New Roman" w:hAnsi="Helvetica" w:cs="Helvetica"/>
          <w:color w:val="494949"/>
          <w:sz w:val="21"/>
          <w:szCs w:val="21"/>
        </w:rPr>
        <w:t>My RX Search</w:t>
      </w:r>
      <w:r>
        <w:rPr>
          <w:rFonts w:ascii="Helvetica" w:eastAsia="Times New Roman" w:hAnsi="Helvetica" w:cs="Helvetica"/>
          <w:color w:val="494949"/>
          <w:sz w:val="21"/>
          <w:szCs w:val="21"/>
        </w:rPr>
        <w:t xml:space="preserve"> function to view all prescriptions attributed to your DEA number.</w:t>
      </w:r>
    </w:p>
    <w:p w14:paraId="29BC2E1A" w14:textId="77777777" w:rsidR="005A014A" w:rsidRDefault="005A014A" w:rsidP="00590B39">
      <w:pPr>
        <w:numPr>
          <w:ilvl w:val="1"/>
          <w:numId w:val="2"/>
        </w:numPr>
        <w:rPr>
          <w:rFonts w:ascii="Helvetica" w:eastAsia="Times New Roman" w:hAnsi="Helvetica" w:cs="Helvetica"/>
          <w:color w:val="494949"/>
          <w:sz w:val="21"/>
          <w:szCs w:val="21"/>
        </w:rPr>
      </w:pPr>
      <w:r>
        <w:rPr>
          <w:rFonts w:ascii="Helvetica" w:eastAsia="Times New Roman" w:hAnsi="Helvetica" w:cs="Helvetica"/>
          <w:color w:val="494949"/>
          <w:sz w:val="21"/>
          <w:szCs w:val="21"/>
        </w:rPr>
        <w:t>Selecting the most accurate healthcare specialty during registration will provide for a more meaningful Prescriber Report.</w:t>
      </w:r>
    </w:p>
    <w:p w14:paraId="6171BF14" w14:textId="4783CD4E" w:rsidR="0071404A" w:rsidRPr="00590B39" w:rsidRDefault="005A014A" w:rsidP="00590B39">
      <w:pPr>
        <w:numPr>
          <w:ilvl w:val="1"/>
          <w:numId w:val="2"/>
        </w:numPr>
        <w:rPr>
          <w:rFonts w:ascii="Helvetica" w:eastAsia="Times New Roman" w:hAnsi="Helvetica" w:cs="Helvetica"/>
          <w:color w:val="494949"/>
          <w:sz w:val="21"/>
          <w:szCs w:val="21"/>
        </w:rPr>
      </w:pPr>
      <w:r>
        <w:rPr>
          <w:rFonts w:ascii="Helvetica" w:eastAsia="Times New Roman" w:hAnsi="Helvetica" w:cs="Helvetica"/>
          <w:color w:val="494949"/>
          <w:sz w:val="21"/>
          <w:szCs w:val="21"/>
        </w:rPr>
        <w:t>After completing your profile, you will sign up for Multi-Factor Authentication and select which method to receive verification codes (text message and/or email).</w:t>
      </w:r>
    </w:p>
    <w:p w14:paraId="0AE0B74F" w14:textId="65437F83" w:rsidR="0071404A" w:rsidRPr="0071404A" w:rsidRDefault="005A014A" w:rsidP="00590B39">
      <w:pPr>
        <w:numPr>
          <w:ilvl w:val="0"/>
          <w:numId w:val="2"/>
        </w:numPr>
        <w:rPr>
          <w:rStyle w:val="Strong"/>
          <w:rFonts w:ascii="Helvetica" w:eastAsia="Times New Roman" w:hAnsi="Helvetica" w:cs="Helvetica"/>
          <w:b w:val="0"/>
          <w:bCs w:val="0"/>
          <w:color w:val="494949"/>
          <w:sz w:val="21"/>
          <w:szCs w:val="21"/>
        </w:rPr>
      </w:pPr>
      <w:r>
        <w:rPr>
          <w:rFonts w:ascii="Helvetica" w:eastAsia="Times New Roman" w:hAnsi="Helvetica" w:cs="Helvetica"/>
          <w:color w:val="494949"/>
          <w:sz w:val="21"/>
          <w:szCs w:val="21"/>
        </w:rPr>
        <w:t xml:space="preserve">To search for patient information/reports, please review the </w:t>
      </w:r>
      <w:hyperlink r:id="rId8" w:tgtFrame="_blank" w:history="1">
        <w:r>
          <w:rPr>
            <w:rStyle w:val="Hyperlink"/>
            <w:rFonts w:ascii="Helvetica" w:eastAsia="Times New Roman" w:hAnsi="Helvetica" w:cs="Helvetica"/>
            <w:color w:val="1871BC"/>
            <w:sz w:val="21"/>
            <w:szCs w:val="21"/>
          </w:rPr>
          <w:t>Quick Reference Guide: Making a Patient Request</w:t>
        </w:r>
      </w:hyperlink>
      <w:r>
        <w:rPr>
          <w:rStyle w:val="Emphasis"/>
          <w:rFonts w:ascii="Helvetica" w:eastAsia="Times New Roman" w:hAnsi="Helvetica" w:cs="Helvetica"/>
          <w:color w:val="494949"/>
          <w:sz w:val="21"/>
          <w:szCs w:val="21"/>
        </w:rPr>
        <w:t xml:space="preserve">. </w:t>
      </w:r>
      <w:r>
        <w:rPr>
          <w:rFonts w:ascii="Helvetica" w:eastAsia="Times New Roman" w:hAnsi="Helvetica" w:cs="Helvetica"/>
          <w:color w:val="494949"/>
          <w:sz w:val="21"/>
          <w:szCs w:val="21"/>
        </w:rPr>
        <w:t xml:space="preserve">For more detailed information, review the comprehensive </w:t>
      </w:r>
      <w:hyperlink r:id="rId9" w:history="1">
        <w:r>
          <w:rPr>
            <w:rStyle w:val="Hyperlink"/>
            <w:rFonts w:ascii="Helvetica" w:eastAsia="Times New Roman" w:hAnsi="Helvetica" w:cs="Helvetica"/>
            <w:color w:val="1871BC"/>
            <w:sz w:val="21"/>
            <w:szCs w:val="21"/>
          </w:rPr>
          <w:t xml:space="preserve">MPDR PMP </w:t>
        </w:r>
        <w:proofErr w:type="spellStart"/>
        <w:r>
          <w:rPr>
            <w:rStyle w:val="Hyperlink"/>
            <w:rFonts w:ascii="Helvetica" w:eastAsia="Times New Roman" w:hAnsi="Helvetica" w:cs="Helvetica"/>
            <w:color w:val="1871BC"/>
            <w:sz w:val="21"/>
            <w:szCs w:val="21"/>
          </w:rPr>
          <w:t>AWARxE</w:t>
        </w:r>
        <w:proofErr w:type="spellEnd"/>
        <w:r>
          <w:rPr>
            <w:rStyle w:val="Hyperlink"/>
            <w:rFonts w:ascii="Helvetica" w:eastAsia="Times New Roman" w:hAnsi="Helvetica" w:cs="Helvetica"/>
            <w:color w:val="1871BC"/>
            <w:sz w:val="21"/>
            <w:szCs w:val="21"/>
          </w:rPr>
          <w:t xml:space="preserve"> Registered User Guide </w:t>
        </w:r>
      </w:hyperlink>
      <w:r>
        <w:rPr>
          <w:rFonts w:ascii="Helvetica" w:eastAsia="Times New Roman" w:hAnsi="Helvetica" w:cs="Helvetica"/>
          <w:color w:val="494949"/>
          <w:sz w:val="21"/>
          <w:szCs w:val="21"/>
        </w:rPr>
        <w:t>.</w:t>
      </w:r>
    </w:p>
    <w:p w14:paraId="7C1E0CE6" w14:textId="0BF6A4EE" w:rsidR="005A014A" w:rsidRDefault="005A014A" w:rsidP="00590B39">
      <w:pPr>
        <w:numPr>
          <w:ilvl w:val="0"/>
          <w:numId w:val="2"/>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 xml:space="preserve">Delegate Process </w:t>
      </w:r>
      <w:r>
        <w:rPr>
          <w:rFonts w:ascii="Helvetica" w:eastAsia="Times New Roman" w:hAnsi="Helvetica" w:cs="Helvetica"/>
          <w:color w:val="494949"/>
          <w:sz w:val="21"/>
          <w:szCs w:val="21"/>
        </w:rPr>
        <w:t xml:space="preserve">– All delegates need to register for a new account with MPDR, which involves entering their MPDR Supervising Provider’s email address. A Supervising Provider will receive an email notification when a delegate chooses you as a supervisor. You must approve or deny requests within your MPDR account. Delegates will </w:t>
      </w:r>
      <w:r>
        <w:rPr>
          <w:rStyle w:val="Strong"/>
          <w:rFonts w:ascii="Helvetica" w:eastAsia="Times New Roman" w:hAnsi="Helvetica" w:cs="Helvetica"/>
          <w:color w:val="494949"/>
          <w:sz w:val="21"/>
          <w:szCs w:val="21"/>
        </w:rPr>
        <w:t>not</w:t>
      </w:r>
      <w:r>
        <w:rPr>
          <w:rFonts w:ascii="Helvetica" w:eastAsia="Times New Roman" w:hAnsi="Helvetica" w:cs="Helvetica"/>
          <w:color w:val="494949"/>
          <w:sz w:val="21"/>
          <w:szCs w:val="21"/>
        </w:rPr>
        <w:t xml:space="preserve"> be able to search patient reports on your behalf until you approve their access. Delegate relationships must be renewed every March and September.</w:t>
      </w:r>
    </w:p>
    <w:p w14:paraId="4512562E" w14:textId="5FA0B52F" w:rsidR="005A014A" w:rsidRPr="00C53447" w:rsidRDefault="005A014A" w:rsidP="00590B39">
      <w:pPr>
        <w:numPr>
          <w:ilvl w:val="0"/>
          <w:numId w:val="2"/>
        </w:numPr>
        <w:rPr>
          <w:rStyle w:val="Strong"/>
          <w:rFonts w:ascii="Helvetica" w:eastAsia="Times New Roman" w:hAnsi="Helvetica" w:cs="Helvetica"/>
          <w:b w:val="0"/>
          <w:bCs w:val="0"/>
          <w:color w:val="494949"/>
          <w:sz w:val="21"/>
          <w:szCs w:val="21"/>
        </w:rPr>
      </w:pPr>
      <w:r>
        <w:rPr>
          <w:rStyle w:val="Strong"/>
          <w:rFonts w:ascii="Helvetica" w:eastAsia="Times New Roman" w:hAnsi="Helvetica" w:cs="Helvetica"/>
          <w:color w:val="494949"/>
          <w:sz w:val="21"/>
          <w:szCs w:val="21"/>
        </w:rPr>
        <w:t>Interstate Data Sharing</w:t>
      </w:r>
      <w:r>
        <w:rPr>
          <w:rFonts w:ascii="Helvetica" w:eastAsia="Times New Roman" w:hAnsi="Helvetica" w:cs="Helvetica"/>
          <w:color w:val="494949"/>
          <w:sz w:val="21"/>
          <w:szCs w:val="21"/>
        </w:rPr>
        <w:t xml:space="preserve"> – MPDR continues to provide interstate data sharing and is now connected with 28 states, including all bordering states and the Military Health System.</w:t>
      </w:r>
    </w:p>
    <w:p w14:paraId="7EBC0D9D" w14:textId="77777777" w:rsidR="00590B39" w:rsidRDefault="00590B39" w:rsidP="0071404A">
      <w:pPr>
        <w:pStyle w:val="NormalWeb"/>
        <w:spacing w:before="0" w:beforeAutospacing="0" w:after="0" w:afterAutospacing="0"/>
        <w:rPr>
          <w:rStyle w:val="Strong"/>
          <w:rFonts w:ascii="Helvetica" w:hAnsi="Helvetica" w:cs="Helvetica"/>
          <w:color w:val="494949"/>
          <w:sz w:val="21"/>
          <w:szCs w:val="21"/>
          <w:u w:val="single"/>
        </w:rPr>
      </w:pPr>
    </w:p>
    <w:p w14:paraId="19AD60A3" w14:textId="2667FF5B" w:rsidR="005A014A" w:rsidRDefault="005A014A" w:rsidP="0071404A">
      <w:pPr>
        <w:pStyle w:val="NormalWeb"/>
        <w:spacing w:before="0" w:beforeAutospacing="0" w:after="0" w:afterAutospacing="0"/>
        <w:rPr>
          <w:rFonts w:ascii="Helvetica" w:hAnsi="Helvetica" w:cs="Helvetica"/>
          <w:color w:val="494949"/>
          <w:sz w:val="21"/>
          <w:szCs w:val="21"/>
        </w:rPr>
      </w:pPr>
      <w:r>
        <w:rPr>
          <w:rStyle w:val="Strong"/>
          <w:rFonts w:ascii="Helvetica" w:hAnsi="Helvetica" w:cs="Helvetica"/>
          <w:color w:val="494949"/>
          <w:sz w:val="21"/>
          <w:szCs w:val="21"/>
          <w:u w:val="single"/>
        </w:rPr>
        <w:t>MPDR Requirements</w:t>
      </w:r>
      <w:r>
        <w:rPr>
          <w:rFonts w:ascii="Helvetica" w:hAnsi="Helvetica" w:cs="Helvetica"/>
          <w:color w:val="494949"/>
          <w:sz w:val="21"/>
          <w:szCs w:val="21"/>
          <w:u w:val="single"/>
        </w:rPr>
        <w:t xml:space="preserve">: </w:t>
      </w:r>
    </w:p>
    <w:p w14:paraId="2B61014B" w14:textId="77777777" w:rsidR="005A014A" w:rsidRDefault="005A014A" w:rsidP="0071404A">
      <w:pPr>
        <w:pStyle w:val="NormalWeb"/>
        <w:spacing w:before="0" w:beforeAutospacing="0" w:after="0" w:afterAutospacing="0"/>
        <w:rPr>
          <w:rFonts w:ascii="Helvetica" w:hAnsi="Helvetica" w:cs="Helvetica"/>
          <w:color w:val="494949"/>
          <w:sz w:val="21"/>
          <w:szCs w:val="21"/>
        </w:rPr>
      </w:pPr>
      <w:r>
        <w:rPr>
          <w:rFonts w:ascii="Helvetica" w:hAnsi="Helvetica" w:cs="Helvetica"/>
          <w:color w:val="494949"/>
          <w:sz w:val="21"/>
          <w:szCs w:val="21"/>
        </w:rPr>
        <w:t>The following MPDR requirements were established in the 2019 Legislative Session:</w:t>
      </w:r>
    </w:p>
    <w:p w14:paraId="437B56F0" w14:textId="77777777" w:rsidR="005A014A" w:rsidRDefault="005A014A" w:rsidP="005A014A">
      <w:pPr>
        <w:numPr>
          <w:ilvl w:val="0"/>
          <w:numId w:val="1"/>
        </w:numPr>
        <w:spacing w:before="100" w:beforeAutospacing="1" w:after="225"/>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 xml:space="preserve">Mandatory Registration and Fee Payment: </w:t>
      </w:r>
      <w:r>
        <w:rPr>
          <w:rFonts w:ascii="Helvetica" w:eastAsia="Times New Roman" w:hAnsi="Helvetica" w:cs="Helvetica"/>
          <w:color w:val="494949"/>
          <w:sz w:val="21"/>
          <w:szCs w:val="21"/>
        </w:rPr>
        <w:t xml:space="preserve">Effective October 1, 2019, all Montana licensees authorized to prescribe or dispense prescription drugs are required to register with the MPDR, Montana Code Annotated (MCA) </w:t>
      </w:r>
      <w:hyperlink r:id="rId10" w:history="1">
        <w:r>
          <w:rPr>
            <w:rStyle w:val="Hyperlink"/>
            <w:rFonts w:ascii="Helvetica" w:eastAsia="Times New Roman" w:hAnsi="Helvetica" w:cs="Helvetica"/>
            <w:color w:val="1871BC"/>
            <w:sz w:val="21"/>
            <w:szCs w:val="21"/>
          </w:rPr>
          <w:t>MCA 37-7-1503</w:t>
        </w:r>
      </w:hyperlink>
      <w:r>
        <w:rPr>
          <w:rFonts w:ascii="Helvetica" w:eastAsia="Times New Roman" w:hAnsi="Helvetica" w:cs="Helvetica"/>
          <w:color w:val="494949"/>
          <w:sz w:val="21"/>
          <w:szCs w:val="21"/>
        </w:rPr>
        <w:t xml:space="preserve">, and pay the annual $30 MPDR fee at the time of license renewal, </w:t>
      </w:r>
      <w:hyperlink r:id="rId11" w:history="1">
        <w:r>
          <w:rPr>
            <w:rStyle w:val="Hyperlink"/>
            <w:rFonts w:ascii="Helvetica" w:eastAsia="Times New Roman" w:hAnsi="Helvetica" w:cs="Helvetica"/>
            <w:color w:val="1871BC"/>
            <w:sz w:val="21"/>
            <w:szCs w:val="21"/>
          </w:rPr>
          <w:t>MCA 37-7-1511.</w:t>
        </w:r>
      </w:hyperlink>
      <w:r>
        <w:rPr>
          <w:rFonts w:ascii="Helvetica" w:eastAsia="Times New Roman" w:hAnsi="Helvetica" w:cs="Helvetica"/>
          <w:color w:val="494949"/>
          <w:sz w:val="21"/>
          <w:szCs w:val="21"/>
        </w:rPr>
        <w:t xml:space="preserve"> </w:t>
      </w:r>
    </w:p>
    <w:p w14:paraId="6DC313F8" w14:textId="77777777" w:rsidR="005A014A" w:rsidRDefault="005A014A" w:rsidP="005A014A">
      <w:pPr>
        <w:numPr>
          <w:ilvl w:val="0"/>
          <w:numId w:val="1"/>
        </w:numPr>
        <w:spacing w:before="100" w:beforeAutospacing="1" w:after="225"/>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 xml:space="preserve">Prescriber Mandatory Use: </w:t>
      </w:r>
      <w:r>
        <w:rPr>
          <w:rFonts w:ascii="Helvetica" w:eastAsia="Times New Roman" w:hAnsi="Helvetica" w:cs="Helvetica"/>
          <w:color w:val="494949"/>
          <w:sz w:val="21"/>
          <w:szCs w:val="21"/>
        </w:rPr>
        <w:t xml:space="preserve">Effective July 1, 2021, a prescriber, or an agent of the prescriber, is required to search a patient’s MPDR record before issuing a prescription for an opioid or a benzodiazepines to the patient, except in certain circumstances, </w:t>
      </w:r>
      <w:hyperlink r:id="rId12" w:history="1">
        <w:r>
          <w:rPr>
            <w:rStyle w:val="Hyperlink"/>
            <w:rFonts w:ascii="Helvetica" w:eastAsia="Times New Roman" w:hAnsi="Helvetica" w:cs="Helvetica"/>
            <w:color w:val="1871BC"/>
            <w:sz w:val="21"/>
            <w:szCs w:val="21"/>
          </w:rPr>
          <w:t>MCA 37-7-1515.</w:t>
        </w:r>
      </w:hyperlink>
      <w:r>
        <w:rPr>
          <w:rFonts w:ascii="Helvetica" w:eastAsia="Times New Roman" w:hAnsi="Helvetica" w:cs="Helvetica"/>
          <w:color w:val="494949"/>
          <w:sz w:val="21"/>
          <w:szCs w:val="21"/>
        </w:rPr>
        <w:t xml:space="preserve"> </w:t>
      </w:r>
    </w:p>
    <w:p w14:paraId="6F65515E" w14:textId="3187A92E" w:rsidR="005A014A" w:rsidRDefault="005A014A" w:rsidP="0071404A">
      <w:pPr>
        <w:pStyle w:val="NormalWeb"/>
        <w:spacing w:before="0" w:beforeAutospacing="0" w:after="0" w:afterAutospacing="0"/>
        <w:rPr>
          <w:rFonts w:ascii="Helvetica" w:hAnsi="Helvetica" w:cs="Helvetica"/>
          <w:color w:val="494949"/>
          <w:sz w:val="21"/>
          <w:szCs w:val="21"/>
        </w:rPr>
      </w:pPr>
      <w:r>
        <w:rPr>
          <w:rStyle w:val="Strong"/>
          <w:rFonts w:ascii="Helvetica" w:hAnsi="Helvetica" w:cs="Helvetica"/>
          <w:color w:val="494949"/>
          <w:sz w:val="21"/>
          <w:szCs w:val="21"/>
          <w:u w:val="single"/>
        </w:rPr>
        <w:t>Highlights of the MPDR System </w:t>
      </w:r>
      <w:r w:rsidR="00C53447">
        <w:rPr>
          <w:rStyle w:val="Strong"/>
          <w:rFonts w:ascii="Helvetica" w:hAnsi="Helvetica" w:cs="Helvetica"/>
          <w:color w:val="494949"/>
          <w:sz w:val="21"/>
          <w:szCs w:val="21"/>
          <w:u w:val="single"/>
        </w:rPr>
        <w:t xml:space="preserve">(PMP </w:t>
      </w:r>
      <w:proofErr w:type="spellStart"/>
      <w:r w:rsidR="00C53447">
        <w:rPr>
          <w:rStyle w:val="Strong"/>
          <w:rFonts w:ascii="Helvetica" w:hAnsi="Helvetica" w:cs="Helvetica"/>
          <w:color w:val="494949"/>
          <w:sz w:val="21"/>
          <w:szCs w:val="21"/>
          <w:u w:val="single"/>
        </w:rPr>
        <w:t>AWARxE</w:t>
      </w:r>
      <w:proofErr w:type="spellEnd"/>
      <w:r w:rsidR="00C53447">
        <w:rPr>
          <w:rStyle w:val="Strong"/>
          <w:rFonts w:ascii="Helvetica" w:hAnsi="Helvetica" w:cs="Helvetica"/>
          <w:color w:val="494949"/>
          <w:sz w:val="21"/>
          <w:szCs w:val="21"/>
          <w:u w:val="single"/>
        </w:rPr>
        <w:t>)</w:t>
      </w:r>
      <w:r>
        <w:rPr>
          <w:rStyle w:val="Strong"/>
          <w:rFonts w:ascii="Helvetica" w:hAnsi="Helvetica" w:cs="Helvetica"/>
          <w:color w:val="494949"/>
          <w:sz w:val="21"/>
          <w:szCs w:val="21"/>
          <w:u w:val="single"/>
        </w:rPr>
        <w:t xml:space="preserve"> </w:t>
      </w:r>
    </w:p>
    <w:p w14:paraId="1CEF65D5" w14:textId="64B03876" w:rsidR="005A014A" w:rsidRDefault="005A014A" w:rsidP="0071404A">
      <w:pPr>
        <w:pStyle w:val="NormalWeb"/>
        <w:spacing w:before="0" w:beforeAutospacing="0" w:after="0" w:afterAutospacing="0"/>
        <w:rPr>
          <w:rFonts w:ascii="Helvetica" w:hAnsi="Helvetica" w:cs="Helvetica"/>
          <w:color w:val="494949"/>
          <w:sz w:val="21"/>
          <w:szCs w:val="21"/>
        </w:rPr>
      </w:pPr>
      <w:r>
        <w:rPr>
          <w:rFonts w:ascii="Helvetica" w:hAnsi="Helvetica" w:cs="Helvetica"/>
          <w:color w:val="494949"/>
          <w:sz w:val="21"/>
          <w:szCs w:val="21"/>
        </w:rPr>
        <w:t xml:space="preserve">There are many advantages to the PMP </w:t>
      </w:r>
      <w:proofErr w:type="spellStart"/>
      <w:r>
        <w:rPr>
          <w:rFonts w:ascii="Helvetica" w:hAnsi="Helvetica" w:cs="Helvetica"/>
          <w:color w:val="494949"/>
          <w:sz w:val="21"/>
          <w:szCs w:val="21"/>
        </w:rPr>
        <w:t>AWARxE</w:t>
      </w:r>
      <w:proofErr w:type="spellEnd"/>
      <w:r>
        <w:rPr>
          <w:rFonts w:ascii="Helvetica" w:hAnsi="Helvetica" w:cs="Helvetica"/>
          <w:color w:val="494949"/>
          <w:sz w:val="21"/>
          <w:szCs w:val="21"/>
        </w:rPr>
        <w:t xml:space="preserve"> software system that hosts prescription monitoring programs in 43 other states and territories. Key enhancements include:  </w:t>
      </w:r>
    </w:p>
    <w:p w14:paraId="7E158EC1" w14:textId="77777777" w:rsidR="00590B39" w:rsidRPr="00590B39" w:rsidRDefault="00590B39" w:rsidP="00590B39">
      <w:pPr>
        <w:ind w:left="720"/>
        <w:rPr>
          <w:rStyle w:val="Strong"/>
          <w:rFonts w:ascii="Helvetica" w:eastAsia="Times New Roman" w:hAnsi="Helvetica" w:cs="Helvetica"/>
          <w:b w:val="0"/>
          <w:bCs w:val="0"/>
          <w:color w:val="494949"/>
          <w:sz w:val="21"/>
          <w:szCs w:val="21"/>
        </w:rPr>
      </w:pPr>
    </w:p>
    <w:p w14:paraId="27225866" w14:textId="7267402A" w:rsidR="005A014A" w:rsidRDefault="005A014A" w:rsidP="00590B39">
      <w:pPr>
        <w:numPr>
          <w:ilvl w:val="0"/>
          <w:numId w:val="3"/>
        </w:numPr>
        <w:rPr>
          <w:rFonts w:ascii="Helvetica" w:eastAsia="Times New Roman" w:hAnsi="Helvetica" w:cs="Helvetica"/>
          <w:color w:val="494949"/>
          <w:sz w:val="21"/>
          <w:szCs w:val="21"/>
        </w:rPr>
      </w:pPr>
      <w:proofErr w:type="spellStart"/>
      <w:r>
        <w:rPr>
          <w:rStyle w:val="Strong"/>
          <w:rFonts w:ascii="Helvetica" w:eastAsia="Times New Roman" w:hAnsi="Helvetica" w:cs="Helvetica"/>
          <w:color w:val="494949"/>
          <w:sz w:val="21"/>
          <w:szCs w:val="21"/>
        </w:rPr>
        <w:t>NarxCare</w:t>
      </w:r>
      <w:proofErr w:type="spellEnd"/>
      <w:r>
        <w:rPr>
          <w:rStyle w:val="Strong"/>
          <w:rFonts w:ascii="Helvetica" w:eastAsia="Times New Roman" w:hAnsi="Helvetica" w:cs="Helvetica"/>
          <w:color w:val="494949"/>
          <w:sz w:val="21"/>
          <w:szCs w:val="21"/>
        </w:rPr>
        <w:t xml:space="preserve"> Clinical Tools</w:t>
      </w:r>
      <w:r>
        <w:rPr>
          <w:rFonts w:ascii="Helvetica" w:eastAsia="Times New Roman" w:hAnsi="Helvetica" w:cs="Helvetica"/>
          <w:color w:val="494949"/>
          <w:sz w:val="21"/>
          <w:szCs w:val="21"/>
        </w:rPr>
        <w:t xml:space="preserve"> – </w:t>
      </w:r>
      <w:proofErr w:type="spellStart"/>
      <w:r>
        <w:rPr>
          <w:rFonts w:ascii="Helvetica" w:eastAsia="Times New Roman" w:hAnsi="Helvetica" w:cs="Helvetica"/>
          <w:color w:val="494949"/>
          <w:sz w:val="21"/>
          <w:szCs w:val="21"/>
        </w:rPr>
        <w:t>NarxCare</w:t>
      </w:r>
      <w:proofErr w:type="spellEnd"/>
      <w:r>
        <w:rPr>
          <w:rFonts w:ascii="Helvetica" w:eastAsia="Times New Roman" w:hAnsi="Helvetica" w:cs="Helvetica"/>
          <w:color w:val="494949"/>
          <w:sz w:val="21"/>
          <w:szCs w:val="21"/>
        </w:rPr>
        <w:t xml:space="preserve"> scores and graphs summarize your </w:t>
      </w:r>
      <w:proofErr w:type="gramStart"/>
      <w:r>
        <w:rPr>
          <w:rFonts w:ascii="Helvetica" w:eastAsia="Times New Roman" w:hAnsi="Helvetica" w:cs="Helvetica"/>
          <w:color w:val="494949"/>
          <w:sz w:val="21"/>
          <w:szCs w:val="21"/>
        </w:rPr>
        <w:t>patient’s controlled</w:t>
      </w:r>
      <w:proofErr w:type="gramEnd"/>
      <w:r>
        <w:rPr>
          <w:rFonts w:ascii="Helvetica" w:eastAsia="Times New Roman" w:hAnsi="Helvetica" w:cs="Helvetica"/>
          <w:color w:val="494949"/>
          <w:sz w:val="21"/>
          <w:szCs w:val="21"/>
        </w:rPr>
        <w:t xml:space="preserve"> substance history and potential risk.</w:t>
      </w:r>
    </w:p>
    <w:p w14:paraId="09FF625E" w14:textId="77A262B9" w:rsidR="00590B39" w:rsidRDefault="005A014A" w:rsidP="0082748C">
      <w:pPr>
        <w:numPr>
          <w:ilvl w:val="0"/>
          <w:numId w:val="3"/>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lastRenderedPageBreak/>
        <w:t>Patient Clinical Alerts</w:t>
      </w:r>
      <w:r>
        <w:rPr>
          <w:rFonts w:ascii="Helvetica" w:eastAsia="Times New Roman" w:hAnsi="Helvetica" w:cs="Helvetica"/>
          <w:color w:val="494949"/>
          <w:sz w:val="21"/>
          <w:szCs w:val="21"/>
        </w:rPr>
        <w:t xml:space="preserve"> – Notifications are displayed on your user dashboard and directly on the </w:t>
      </w:r>
      <w:proofErr w:type="spellStart"/>
      <w:r>
        <w:rPr>
          <w:rFonts w:ascii="Helvetica" w:eastAsia="Times New Roman" w:hAnsi="Helvetica" w:cs="Helvetica"/>
          <w:color w:val="494949"/>
          <w:sz w:val="21"/>
          <w:szCs w:val="21"/>
        </w:rPr>
        <w:t>NarxCare</w:t>
      </w:r>
      <w:proofErr w:type="spellEnd"/>
      <w:r>
        <w:rPr>
          <w:rFonts w:ascii="Helvetica" w:eastAsia="Times New Roman" w:hAnsi="Helvetica" w:cs="Helvetica"/>
          <w:color w:val="494949"/>
          <w:sz w:val="21"/>
          <w:szCs w:val="21"/>
        </w:rPr>
        <w:t xml:space="preserve"> report if your patient meets thresholds set by the State Administrator.</w:t>
      </w:r>
    </w:p>
    <w:p w14:paraId="2BB23836" w14:textId="77777777" w:rsidR="0082748C" w:rsidRPr="0082748C" w:rsidRDefault="0082748C" w:rsidP="0082748C">
      <w:pPr>
        <w:ind w:left="720"/>
        <w:rPr>
          <w:rStyle w:val="Strong"/>
          <w:rFonts w:ascii="Helvetica" w:eastAsia="Times New Roman" w:hAnsi="Helvetica" w:cs="Helvetica"/>
          <w:b w:val="0"/>
          <w:bCs w:val="0"/>
          <w:color w:val="494949"/>
          <w:sz w:val="21"/>
          <w:szCs w:val="21"/>
        </w:rPr>
      </w:pPr>
    </w:p>
    <w:p w14:paraId="5B7A165B" w14:textId="1B363797" w:rsidR="005A014A" w:rsidRDefault="005A014A" w:rsidP="00590B39">
      <w:pPr>
        <w:numPr>
          <w:ilvl w:val="0"/>
          <w:numId w:val="3"/>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MPDR Integration</w:t>
      </w:r>
      <w:r>
        <w:rPr>
          <w:rFonts w:ascii="Helvetica" w:eastAsia="Times New Roman" w:hAnsi="Helvetica" w:cs="Helvetica"/>
          <w:color w:val="494949"/>
          <w:sz w:val="21"/>
          <w:szCs w:val="21"/>
        </w:rPr>
        <w:t xml:space="preserve"> – MPDR has partnered with the Montana Department of Public Health and Human Services to fund and implement statewide integration through Appriss Gateway. Integration allows one-click access to MPDR information directly through health information systems, including electronic health records, health information exchange, and pharmacy dispensing systems. Please click </w:t>
      </w:r>
      <w:hyperlink r:id="rId13" w:history="1">
        <w:r>
          <w:rPr>
            <w:rStyle w:val="Hyperlink"/>
            <w:rFonts w:ascii="Helvetica" w:eastAsia="Times New Roman" w:hAnsi="Helvetica" w:cs="Helvetica"/>
            <w:color w:val="1871BC"/>
            <w:sz w:val="21"/>
            <w:szCs w:val="21"/>
          </w:rPr>
          <w:t>here</w:t>
        </w:r>
      </w:hyperlink>
      <w:r>
        <w:rPr>
          <w:rFonts w:ascii="Helvetica" w:eastAsia="Times New Roman" w:hAnsi="Helvetica" w:cs="Helvetica"/>
          <w:color w:val="494949"/>
          <w:sz w:val="21"/>
          <w:szCs w:val="21"/>
        </w:rPr>
        <w:t xml:space="preserve"> for more information on MPDR Integration.</w:t>
      </w:r>
    </w:p>
    <w:p w14:paraId="200E0338" w14:textId="77777777" w:rsidR="0082748C" w:rsidRPr="0082748C" w:rsidRDefault="0082748C" w:rsidP="0082748C">
      <w:pPr>
        <w:ind w:left="720"/>
        <w:rPr>
          <w:rStyle w:val="Strong"/>
          <w:rFonts w:ascii="Helvetica" w:eastAsia="Times New Roman" w:hAnsi="Helvetica" w:cs="Helvetica"/>
          <w:b w:val="0"/>
          <w:bCs w:val="0"/>
          <w:color w:val="494949"/>
          <w:sz w:val="21"/>
          <w:szCs w:val="21"/>
        </w:rPr>
      </w:pPr>
    </w:p>
    <w:p w14:paraId="75B89A11" w14:textId="00282B33" w:rsidR="005A014A" w:rsidRDefault="005A014A" w:rsidP="00590B39">
      <w:pPr>
        <w:numPr>
          <w:ilvl w:val="0"/>
          <w:numId w:val="3"/>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 xml:space="preserve">Prescriber Reports </w:t>
      </w:r>
      <w:r>
        <w:rPr>
          <w:rFonts w:ascii="Helvetica" w:eastAsia="Times New Roman" w:hAnsi="Helvetica" w:cs="Helvetica"/>
          <w:color w:val="494949"/>
          <w:sz w:val="21"/>
          <w:szCs w:val="21"/>
        </w:rPr>
        <w:t xml:space="preserve">– </w:t>
      </w:r>
      <w:r>
        <w:rPr>
          <w:rStyle w:val="Emphasis"/>
          <w:rFonts w:ascii="Helvetica" w:eastAsia="Times New Roman" w:hAnsi="Helvetica" w:cs="Helvetica"/>
          <w:color w:val="494949"/>
          <w:sz w:val="21"/>
          <w:szCs w:val="21"/>
        </w:rPr>
        <w:t>Coming soon</w:t>
      </w:r>
      <w:r>
        <w:rPr>
          <w:rFonts w:ascii="Helvetica" w:eastAsia="Times New Roman" w:hAnsi="Helvetica" w:cs="Helvetica"/>
          <w:color w:val="494949"/>
          <w:sz w:val="21"/>
          <w:szCs w:val="21"/>
        </w:rPr>
        <w:t>. Prescriber Reports are intended to give prescribers insight into their controlled substance prescribing patterns. Reports are provided quarterly to all registered MPDR users with an active account and a defined role and specialty who have written at least one opioid, sedative, or stimulant prescription during the prior 6-month period.</w:t>
      </w:r>
    </w:p>
    <w:p w14:paraId="7023A7D7" w14:textId="77777777" w:rsidR="00590B39" w:rsidRDefault="00590B39" w:rsidP="0071404A">
      <w:pPr>
        <w:pStyle w:val="NormalWeb"/>
        <w:spacing w:before="0" w:beforeAutospacing="0" w:after="0" w:afterAutospacing="0"/>
        <w:rPr>
          <w:rStyle w:val="Strong"/>
          <w:rFonts w:ascii="Helvetica" w:hAnsi="Helvetica" w:cs="Helvetica"/>
          <w:color w:val="494949"/>
          <w:sz w:val="21"/>
          <w:szCs w:val="21"/>
        </w:rPr>
      </w:pPr>
    </w:p>
    <w:p w14:paraId="45FB656D" w14:textId="256D60B4" w:rsidR="005A014A" w:rsidRDefault="005A014A" w:rsidP="0071404A">
      <w:pPr>
        <w:pStyle w:val="NormalWeb"/>
        <w:spacing w:before="0" w:beforeAutospacing="0" w:after="0" w:afterAutospacing="0"/>
        <w:rPr>
          <w:rFonts w:ascii="Helvetica" w:hAnsi="Helvetica" w:cs="Helvetica"/>
          <w:color w:val="494949"/>
          <w:sz w:val="21"/>
          <w:szCs w:val="21"/>
        </w:rPr>
      </w:pPr>
      <w:r>
        <w:rPr>
          <w:rStyle w:val="Strong"/>
          <w:rFonts w:ascii="Helvetica" w:hAnsi="Helvetica" w:cs="Helvetica"/>
          <w:color w:val="494949"/>
          <w:sz w:val="21"/>
          <w:szCs w:val="21"/>
        </w:rPr>
        <w:t> </w:t>
      </w:r>
      <w:r>
        <w:rPr>
          <w:rStyle w:val="Strong"/>
          <w:rFonts w:ascii="Helvetica" w:hAnsi="Helvetica" w:cs="Helvetica"/>
          <w:color w:val="494949"/>
          <w:sz w:val="21"/>
          <w:szCs w:val="21"/>
          <w:u w:val="single"/>
        </w:rPr>
        <w:t>Resources</w:t>
      </w:r>
    </w:p>
    <w:p w14:paraId="586EEC20" w14:textId="77777777" w:rsidR="005A014A" w:rsidRDefault="005A014A" w:rsidP="0071404A">
      <w:pPr>
        <w:numPr>
          <w:ilvl w:val="0"/>
          <w:numId w:val="4"/>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 xml:space="preserve">MPDR PMP </w:t>
      </w:r>
      <w:proofErr w:type="spellStart"/>
      <w:r>
        <w:rPr>
          <w:rStyle w:val="Strong"/>
          <w:rFonts w:ascii="Helvetica" w:eastAsia="Times New Roman" w:hAnsi="Helvetica" w:cs="Helvetica"/>
          <w:color w:val="494949"/>
          <w:sz w:val="21"/>
          <w:szCs w:val="21"/>
        </w:rPr>
        <w:t>AWARxE</w:t>
      </w:r>
      <w:proofErr w:type="spellEnd"/>
      <w:r>
        <w:rPr>
          <w:rStyle w:val="Strong"/>
          <w:rFonts w:ascii="Helvetica" w:eastAsia="Times New Roman" w:hAnsi="Helvetica" w:cs="Helvetica"/>
          <w:color w:val="494949"/>
          <w:sz w:val="21"/>
          <w:szCs w:val="21"/>
        </w:rPr>
        <w:t xml:space="preserve"> Web Portal – </w:t>
      </w:r>
      <w:hyperlink r:id="rId14" w:history="1">
        <w:r>
          <w:rPr>
            <w:rStyle w:val="Hyperlink"/>
            <w:rFonts w:ascii="Helvetica" w:eastAsia="Times New Roman" w:hAnsi="Helvetica" w:cs="Helvetica"/>
            <w:color w:val="1871BC"/>
            <w:sz w:val="21"/>
            <w:szCs w:val="21"/>
          </w:rPr>
          <w:t xml:space="preserve">MPDR PMP </w:t>
        </w:r>
        <w:proofErr w:type="spellStart"/>
        <w:r>
          <w:rPr>
            <w:rStyle w:val="Hyperlink"/>
            <w:rFonts w:ascii="Helvetica" w:eastAsia="Times New Roman" w:hAnsi="Helvetica" w:cs="Helvetica"/>
            <w:color w:val="1871BC"/>
            <w:sz w:val="21"/>
            <w:szCs w:val="21"/>
          </w:rPr>
          <w:t>AWARxE</w:t>
        </w:r>
        <w:proofErr w:type="spellEnd"/>
        <w:r>
          <w:rPr>
            <w:rStyle w:val="Hyperlink"/>
            <w:rFonts w:ascii="Helvetica" w:eastAsia="Times New Roman" w:hAnsi="Helvetica" w:cs="Helvetica"/>
            <w:color w:val="1871BC"/>
            <w:sz w:val="21"/>
            <w:szCs w:val="21"/>
          </w:rPr>
          <w:t xml:space="preserve"> [montana.pmpaware.net] </w:t>
        </w:r>
      </w:hyperlink>
    </w:p>
    <w:p w14:paraId="32656630" w14:textId="77777777" w:rsidR="005A014A" w:rsidRDefault="005A014A" w:rsidP="0071404A">
      <w:pPr>
        <w:numPr>
          <w:ilvl w:val="0"/>
          <w:numId w:val="4"/>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Quick Reference and User Guides</w:t>
      </w:r>
      <w:r>
        <w:rPr>
          <w:rFonts w:ascii="Helvetica" w:eastAsia="Times New Roman" w:hAnsi="Helvetica" w:cs="Helvetica"/>
          <w:color w:val="494949"/>
          <w:sz w:val="21"/>
          <w:szCs w:val="21"/>
        </w:rPr>
        <w:t xml:space="preserve"> </w:t>
      </w:r>
      <w:r>
        <w:rPr>
          <w:rStyle w:val="Strong"/>
          <w:rFonts w:ascii="Helvetica" w:eastAsia="Times New Roman" w:hAnsi="Helvetica" w:cs="Helvetica"/>
          <w:color w:val="494949"/>
          <w:sz w:val="21"/>
          <w:szCs w:val="21"/>
        </w:rPr>
        <w:t>–</w:t>
      </w:r>
      <w:r>
        <w:rPr>
          <w:rFonts w:ascii="Helvetica" w:eastAsia="Times New Roman" w:hAnsi="Helvetica" w:cs="Helvetica"/>
          <w:color w:val="494949"/>
          <w:sz w:val="21"/>
          <w:szCs w:val="21"/>
        </w:rPr>
        <w:t xml:space="preserve"> See the </w:t>
      </w:r>
      <w:hyperlink r:id="rId15" w:history="1">
        <w:r>
          <w:rPr>
            <w:rStyle w:val="Hyperlink"/>
            <w:rFonts w:ascii="Helvetica" w:eastAsia="Times New Roman" w:hAnsi="Helvetica" w:cs="Helvetica"/>
            <w:color w:val="1871BC"/>
            <w:sz w:val="21"/>
            <w:szCs w:val="21"/>
          </w:rPr>
          <w:t xml:space="preserve">Quick Reference Guide: How to Search Patient History in MPDR PMP </w:t>
        </w:r>
        <w:proofErr w:type="spellStart"/>
        <w:r>
          <w:rPr>
            <w:rStyle w:val="Hyperlink"/>
            <w:rFonts w:ascii="Helvetica" w:eastAsia="Times New Roman" w:hAnsi="Helvetica" w:cs="Helvetica"/>
            <w:color w:val="1871BC"/>
            <w:sz w:val="21"/>
            <w:szCs w:val="21"/>
          </w:rPr>
          <w:t>AWARxE</w:t>
        </w:r>
        <w:proofErr w:type="spellEnd"/>
        <w:r>
          <w:rPr>
            <w:rStyle w:val="Hyperlink"/>
            <w:rFonts w:ascii="Helvetica" w:eastAsia="Times New Roman" w:hAnsi="Helvetica" w:cs="Helvetica"/>
            <w:color w:val="1871BC"/>
            <w:sz w:val="21"/>
            <w:szCs w:val="21"/>
          </w:rPr>
          <w:t xml:space="preserve"> </w:t>
        </w:r>
      </w:hyperlink>
      <w:r>
        <w:rPr>
          <w:rFonts w:ascii="Helvetica" w:eastAsia="Times New Roman" w:hAnsi="Helvetica" w:cs="Helvetica"/>
          <w:color w:val="494949"/>
          <w:sz w:val="21"/>
          <w:szCs w:val="21"/>
        </w:rPr>
        <w:t xml:space="preserve"> and the </w:t>
      </w:r>
      <w:hyperlink r:id="rId16" w:history="1">
        <w:r>
          <w:rPr>
            <w:rStyle w:val="Hyperlink"/>
            <w:rFonts w:ascii="Helvetica" w:eastAsia="Times New Roman" w:hAnsi="Helvetica" w:cs="Helvetica"/>
            <w:color w:val="1871BC"/>
            <w:sz w:val="21"/>
            <w:szCs w:val="21"/>
          </w:rPr>
          <w:t xml:space="preserve">MPDR PMP </w:t>
        </w:r>
        <w:proofErr w:type="spellStart"/>
        <w:r>
          <w:rPr>
            <w:rStyle w:val="Hyperlink"/>
            <w:rFonts w:ascii="Helvetica" w:eastAsia="Times New Roman" w:hAnsi="Helvetica" w:cs="Helvetica"/>
            <w:color w:val="1871BC"/>
            <w:sz w:val="21"/>
            <w:szCs w:val="21"/>
          </w:rPr>
          <w:t>AWARxE</w:t>
        </w:r>
        <w:proofErr w:type="spellEnd"/>
        <w:r>
          <w:rPr>
            <w:rStyle w:val="Hyperlink"/>
            <w:rFonts w:ascii="Helvetica" w:eastAsia="Times New Roman" w:hAnsi="Helvetica" w:cs="Helvetica"/>
            <w:color w:val="1871BC"/>
            <w:sz w:val="21"/>
            <w:szCs w:val="21"/>
          </w:rPr>
          <w:t xml:space="preserve"> Registered User Guide </w:t>
        </w:r>
      </w:hyperlink>
      <w:r>
        <w:rPr>
          <w:rFonts w:ascii="Helvetica" w:eastAsia="Times New Roman" w:hAnsi="Helvetica" w:cs="Helvetica"/>
          <w:color w:val="494949"/>
          <w:sz w:val="21"/>
          <w:szCs w:val="21"/>
        </w:rPr>
        <w:t> for more details on registration, functionality, and clinical tools.  </w:t>
      </w:r>
    </w:p>
    <w:p w14:paraId="770DFBC0" w14:textId="77777777" w:rsidR="005A014A" w:rsidRDefault="005A014A" w:rsidP="0071404A">
      <w:pPr>
        <w:numPr>
          <w:ilvl w:val="0"/>
          <w:numId w:val="4"/>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MPDR Homepage –</w:t>
      </w:r>
      <w:r>
        <w:rPr>
          <w:rFonts w:ascii="Helvetica" w:eastAsia="Times New Roman" w:hAnsi="Helvetica" w:cs="Helvetica"/>
          <w:color w:val="494949"/>
          <w:sz w:val="21"/>
          <w:szCs w:val="21"/>
        </w:rPr>
        <w:t> </w:t>
      </w:r>
      <w:hyperlink r:id="rId17" w:history="1">
        <w:r>
          <w:rPr>
            <w:rStyle w:val="Hyperlink"/>
            <w:rFonts w:ascii="Helvetica" w:eastAsia="Times New Roman" w:hAnsi="Helvetica" w:cs="Helvetica"/>
            <w:color w:val="1871BC"/>
            <w:sz w:val="21"/>
            <w:szCs w:val="21"/>
          </w:rPr>
          <w:t xml:space="preserve">www.mpdr.mt.gov </w:t>
        </w:r>
      </w:hyperlink>
      <w:r>
        <w:rPr>
          <w:rFonts w:ascii="Helvetica" w:eastAsia="Times New Roman" w:hAnsi="Helvetica" w:cs="Helvetica"/>
          <w:color w:val="494949"/>
          <w:sz w:val="21"/>
          <w:szCs w:val="21"/>
        </w:rPr>
        <w:t> </w:t>
      </w:r>
    </w:p>
    <w:p w14:paraId="6E7FFD6B" w14:textId="77777777" w:rsidR="005A014A" w:rsidRDefault="005A014A" w:rsidP="0071404A">
      <w:pPr>
        <w:numPr>
          <w:ilvl w:val="0"/>
          <w:numId w:val="4"/>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MPDR Integration Information –</w:t>
      </w:r>
      <w:r>
        <w:rPr>
          <w:rFonts w:ascii="Helvetica" w:eastAsia="Times New Roman" w:hAnsi="Helvetica" w:cs="Helvetica"/>
          <w:color w:val="494949"/>
          <w:sz w:val="21"/>
          <w:szCs w:val="21"/>
        </w:rPr>
        <w:t xml:space="preserve"> </w:t>
      </w:r>
      <w:hyperlink r:id="rId18" w:history="1">
        <w:r>
          <w:rPr>
            <w:rStyle w:val="Hyperlink"/>
            <w:rFonts w:ascii="Helvetica" w:eastAsia="Times New Roman" w:hAnsi="Helvetica" w:cs="Helvetica"/>
            <w:color w:val="1871BC"/>
            <w:sz w:val="21"/>
            <w:szCs w:val="21"/>
          </w:rPr>
          <w:t>MPDR Gateway Integration Guide</w:t>
        </w:r>
      </w:hyperlink>
      <w:r>
        <w:rPr>
          <w:rFonts w:ascii="Helvetica" w:eastAsia="Times New Roman" w:hAnsi="Helvetica" w:cs="Helvetica"/>
          <w:color w:val="494949"/>
          <w:sz w:val="21"/>
          <w:szCs w:val="21"/>
        </w:rPr>
        <w:t xml:space="preserve"> </w:t>
      </w:r>
    </w:p>
    <w:p w14:paraId="27366020" w14:textId="0F7159A4" w:rsidR="0071404A" w:rsidRDefault="005A014A" w:rsidP="00590B39">
      <w:pPr>
        <w:numPr>
          <w:ilvl w:val="0"/>
          <w:numId w:val="4"/>
        </w:numPr>
        <w:rPr>
          <w:rFonts w:ascii="Helvetica" w:eastAsia="Times New Roman" w:hAnsi="Helvetica" w:cs="Helvetica"/>
          <w:color w:val="494949"/>
          <w:sz w:val="21"/>
          <w:szCs w:val="21"/>
        </w:rPr>
      </w:pPr>
      <w:r>
        <w:rPr>
          <w:rStyle w:val="Strong"/>
          <w:rFonts w:ascii="Helvetica" w:eastAsia="Times New Roman" w:hAnsi="Helvetica" w:cs="Helvetica"/>
          <w:color w:val="494949"/>
          <w:sz w:val="21"/>
          <w:szCs w:val="21"/>
        </w:rPr>
        <w:t xml:space="preserve">MPDR Statutes and Rules – </w:t>
      </w:r>
      <w:hyperlink r:id="rId19" w:history="1">
        <w:r>
          <w:rPr>
            <w:rStyle w:val="Hyperlink"/>
            <w:rFonts w:ascii="Helvetica" w:eastAsia="Times New Roman" w:hAnsi="Helvetica" w:cs="Helvetica"/>
            <w:color w:val="1871BC"/>
            <w:sz w:val="21"/>
            <w:szCs w:val="21"/>
          </w:rPr>
          <w:t xml:space="preserve">Montana Code Annotated (MCA) 37-7-1501 through 1515 </w:t>
        </w:r>
      </w:hyperlink>
      <w:r>
        <w:rPr>
          <w:rFonts w:ascii="Helvetica" w:eastAsia="Times New Roman" w:hAnsi="Helvetica" w:cs="Helvetica"/>
          <w:color w:val="494949"/>
          <w:sz w:val="21"/>
          <w:szCs w:val="21"/>
        </w:rPr>
        <w:t xml:space="preserve"> and </w:t>
      </w:r>
      <w:hyperlink r:id="rId20" w:history="1">
        <w:r>
          <w:rPr>
            <w:rStyle w:val="Hyperlink"/>
            <w:rFonts w:ascii="Helvetica" w:eastAsia="Times New Roman" w:hAnsi="Helvetica" w:cs="Helvetica"/>
            <w:color w:val="1871BC"/>
            <w:sz w:val="21"/>
            <w:szCs w:val="21"/>
          </w:rPr>
          <w:t>Administrative Rules of Montana (ARM) 24.174.1701 through 1715</w:t>
        </w:r>
      </w:hyperlink>
      <w:r>
        <w:rPr>
          <w:rFonts w:ascii="Helvetica" w:eastAsia="Times New Roman" w:hAnsi="Helvetica" w:cs="Helvetica"/>
          <w:color w:val="494949"/>
          <w:sz w:val="21"/>
          <w:szCs w:val="21"/>
        </w:rPr>
        <w:t xml:space="preserve"> </w:t>
      </w:r>
    </w:p>
    <w:p w14:paraId="0A88A3C6" w14:textId="77777777" w:rsidR="00590B39" w:rsidRPr="00590B39" w:rsidRDefault="00590B39" w:rsidP="00590B39">
      <w:pPr>
        <w:ind w:left="720"/>
        <w:rPr>
          <w:rStyle w:val="Strong"/>
          <w:rFonts w:ascii="Helvetica" w:eastAsia="Times New Roman" w:hAnsi="Helvetica" w:cs="Helvetica"/>
          <w:b w:val="0"/>
          <w:bCs w:val="0"/>
          <w:color w:val="494949"/>
          <w:sz w:val="21"/>
          <w:szCs w:val="21"/>
        </w:rPr>
      </w:pPr>
    </w:p>
    <w:p w14:paraId="4344C22C" w14:textId="5525D3AC" w:rsidR="005A014A" w:rsidRDefault="005A014A" w:rsidP="0071404A">
      <w:pPr>
        <w:pStyle w:val="NormalWeb"/>
        <w:spacing w:before="0" w:beforeAutospacing="0" w:after="0" w:afterAutospacing="0"/>
        <w:rPr>
          <w:rFonts w:ascii="Helvetica" w:hAnsi="Helvetica" w:cs="Helvetica"/>
          <w:color w:val="494949"/>
          <w:sz w:val="21"/>
          <w:szCs w:val="21"/>
        </w:rPr>
      </w:pPr>
      <w:r>
        <w:rPr>
          <w:rStyle w:val="Strong"/>
          <w:rFonts w:ascii="Helvetica" w:hAnsi="Helvetica" w:cs="Helvetica"/>
          <w:color w:val="494949"/>
          <w:sz w:val="21"/>
          <w:szCs w:val="21"/>
          <w:u w:val="single"/>
        </w:rPr>
        <w:t>Contact Information</w:t>
      </w:r>
    </w:p>
    <w:p w14:paraId="3FD9EB26" w14:textId="153B5342" w:rsidR="005A014A" w:rsidRDefault="005A014A" w:rsidP="0071404A">
      <w:pPr>
        <w:numPr>
          <w:ilvl w:val="0"/>
          <w:numId w:val="5"/>
        </w:numPr>
        <w:rPr>
          <w:rFonts w:ascii="Helvetica" w:eastAsia="Times New Roman" w:hAnsi="Helvetica" w:cs="Helvetica"/>
          <w:color w:val="494949"/>
          <w:sz w:val="21"/>
          <w:szCs w:val="21"/>
        </w:rPr>
      </w:pPr>
      <w:r>
        <w:rPr>
          <w:rFonts w:ascii="Helvetica" w:eastAsia="Times New Roman" w:hAnsi="Helvetica" w:cs="Helvetica"/>
          <w:color w:val="494949"/>
          <w:sz w:val="21"/>
          <w:szCs w:val="21"/>
        </w:rPr>
        <w:t xml:space="preserve">For technical assistance, please visit </w:t>
      </w:r>
      <w:hyperlink r:id="rId21" w:history="1">
        <w:proofErr w:type="spellStart"/>
        <w:r w:rsidR="00590B39">
          <w:rPr>
            <w:rStyle w:val="Hyperlink"/>
            <w:rFonts w:ascii="Helvetica" w:eastAsia="Times New Roman" w:hAnsi="Helvetica" w:cs="Helvetica"/>
            <w:color w:val="1871BC"/>
            <w:sz w:val="21"/>
            <w:szCs w:val="21"/>
          </w:rPr>
          <w:t>AWARxE</w:t>
        </w:r>
        <w:proofErr w:type="spellEnd"/>
        <w:r>
          <w:rPr>
            <w:rStyle w:val="Hyperlink"/>
            <w:rFonts w:ascii="Helvetica" w:eastAsia="Times New Roman" w:hAnsi="Helvetica" w:cs="Helvetica"/>
            <w:color w:val="1871BC"/>
            <w:sz w:val="21"/>
            <w:szCs w:val="21"/>
          </w:rPr>
          <w:t xml:space="preserve"> Support Center </w:t>
        </w:r>
      </w:hyperlink>
      <w:r>
        <w:rPr>
          <w:rFonts w:ascii="Helvetica" w:eastAsia="Times New Roman" w:hAnsi="Helvetica" w:cs="Helvetica"/>
          <w:color w:val="494949"/>
          <w:sz w:val="21"/>
          <w:szCs w:val="21"/>
        </w:rPr>
        <w:t>or call 1-833-307-0309</w:t>
      </w:r>
    </w:p>
    <w:p w14:paraId="261EF07D" w14:textId="77777777" w:rsidR="005A014A" w:rsidRDefault="005A014A" w:rsidP="0071404A">
      <w:pPr>
        <w:numPr>
          <w:ilvl w:val="0"/>
          <w:numId w:val="5"/>
        </w:numPr>
        <w:rPr>
          <w:rFonts w:ascii="Helvetica" w:eastAsia="Times New Roman" w:hAnsi="Helvetica" w:cs="Helvetica"/>
          <w:color w:val="494949"/>
          <w:sz w:val="21"/>
          <w:szCs w:val="21"/>
        </w:rPr>
      </w:pPr>
      <w:r>
        <w:rPr>
          <w:rFonts w:ascii="Helvetica" w:eastAsia="Times New Roman" w:hAnsi="Helvetica" w:cs="Helvetica"/>
          <w:color w:val="494949"/>
          <w:sz w:val="21"/>
          <w:szCs w:val="21"/>
        </w:rPr>
        <w:t>If you have policy questions, please contact the MPDR at (406) 841-2240 or by email at </w:t>
      </w:r>
      <w:hyperlink r:id="rId22" w:history="1">
        <w:r>
          <w:rPr>
            <w:rStyle w:val="Hyperlink"/>
            <w:rFonts w:ascii="Helvetica" w:eastAsia="Times New Roman" w:hAnsi="Helvetica" w:cs="Helvetica"/>
            <w:color w:val="1871BC"/>
            <w:sz w:val="21"/>
            <w:szCs w:val="21"/>
          </w:rPr>
          <w:t>dlibsdmpdr@mt.gov</w:t>
        </w:r>
      </w:hyperlink>
      <w:r>
        <w:rPr>
          <w:rFonts w:ascii="Helvetica" w:eastAsia="Times New Roman" w:hAnsi="Helvetica" w:cs="Helvetica"/>
          <w:color w:val="494949"/>
          <w:sz w:val="21"/>
          <w:szCs w:val="21"/>
        </w:rPr>
        <w:t>.</w:t>
      </w:r>
    </w:p>
    <w:p w14:paraId="0BFCC388" w14:textId="77777777" w:rsidR="005A014A" w:rsidRDefault="005A014A" w:rsidP="0071404A">
      <w:pPr>
        <w:pStyle w:val="NormalWeb"/>
        <w:spacing w:before="0" w:beforeAutospacing="0" w:after="0" w:afterAutospacing="0"/>
        <w:rPr>
          <w:rFonts w:ascii="Helvetica" w:hAnsi="Helvetica" w:cs="Helvetica"/>
          <w:color w:val="494949"/>
          <w:sz w:val="21"/>
          <w:szCs w:val="21"/>
        </w:rPr>
      </w:pPr>
      <w:r>
        <w:rPr>
          <w:rFonts w:ascii="Helvetica" w:hAnsi="Helvetica" w:cs="Helvetica"/>
          <w:color w:val="494949"/>
          <w:sz w:val="21"/>
          <w:szCs w:val="21"/>
        </w:rPr>
        <w:t> </w:t>
      </w:r>
    </w:p>
    <w:p w14:paraId="31DCCB55" w14:textId="3C720727" w:rsidR="000A5FBF" w:rsidRDefault="000A5FBF" w:rsidP="005A014A"/>
    <w:sectPr w:rsidR="000A5FBF" w:rsidSect="005A014A">
      <w:headerReference w:type="default" r:id="rId2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99BC" w14:textId="77777777" w:rsidR="00B51C3D" w:rsidRDefault="00B51C3D" w:rsidP="005A014A">
      <w:r>
        <w:separator/>
      </w:r>
    </w:p>
  </w:endnote>
  <w:endnote w:type="continuationSeparator" w:id="0">
    <w:p w14:paraId="7CB2E10C" w14:textId="77777777" w:rsidR="00B51C3D" w:rsidRDefault="00B51C3D" w:rsidP="005A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07FF" w14:textId="77777777" w:rsidR="00B51C3D" w:rsidRDefault="00B51C3D" w:rsidP="005A014A">
      <w:r>
        <w:separator/>
      </w:r>
    </w:p>
  </w:footnote>
  <w:footnote w:type="continuationSeparator" w:id="0">
    <w:p w14:paraId="5A8AE330" w14:textId="77777777" w:rsidR="00B51C3D" w:rsidRDefault="00B51C3D" w:rsidP="005A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F56A" w14:textId="77777777" w:rsidR="005A014A" w:rsidRPr="005A014A" w:rsidRDefault="005A014A" w:rsidP="005A014A">
    <w:pPr>
      <w:pStyle w:val="Header"/>
      <w:jc w:val="center"/>
    </w:pPr>
    <w:r w:rsidRPr="005A014A">
      <w:rPr>
        <w:noProof/>
      </w:rPr>
      <w:drawing>
        <wp:inline distT="0" distB="0" distL="0" distR="0" wp14:anchorId="62BBA0B9" wp14:editId="186AF42A">
          <wp:extent cx="2291372" cy="733421"/>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0577" cy="745970"/>
                  </a:xfrm>
                  <a:prstGeom prst="rect">
                    <a:avLst/>
                  </a:prstGeom>
                  <a:noFill/>
                  <a:ln>
                    <a:noFill/>
                  </a:ln>
                </pic:spPr>
              </pic:pic>
            </a:graphicData>
          </a:graphic>
        </wp:inline>
      </w:drawing>
    </w:r>
    <w:r w:rsidRPr="005A014A">
      <w:rPr>
        <w:noProof/>
      </w:rPr>
      <w:drawing>
        <wp:inline distT="0" distB="0" distL="0" distR="0" wp14:anchorId="6B5BEA84" wp14:editId="0357BF3B">
          <wp:extent cx="2901318" cy="362664"/>
          <wp:effectExtent l="0" t="0" r="0" b="0"/>
          <wp:docPr id="1" name="Picture 1" descr="MPD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PDR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961371" cy="370171"/>
                  </a:xfrm>
                  <a:prstGeom prst="rect">
                    <a:avLst/>
                  </a:prstGeom>
                  <a:noFill/>
                  <a:ln>
                    <a:noFill/>
                  </a:ln>
                </pic:spPr>
              </pic:pic>
            </a:graphicData>
          </a:graphic>
        </wp:inline>
      </w:drawing>
    </w:r>
  </w:p>
  <w:p w14:paraId="2D0F8D3F" w14:textId="5BBBC5C5" w:rsidR="005A014A" w:rsidRDefault="005A014A">
    <w:pPr>
      <w:pStyle w:val="Header"/>
    </w:pPr>
  </w:p>
  <w:p w14:paraId="7BAF1012" w14:textId="316918D1" w:rsidR="005A014A" w:rsidRDefault="005A014A" w:rsidP="005A014A">
    <w:pPr>
      <w:pStyle w:val="Header"/>
      <w:jc w:val="center"/>
      <w:rPr>
        <w:b/>
        <w:bCs/>
        <w:sz w:val="32"/>
        <w:szCs w:val="32"/>
      </w:rPr>
    </w:pPr>
    <w:r w:rsidRPr="005A014A">
      <w:rPr>
        <w:b/>
        <w:bCs/>
        <w:sz w:val="32"/>
        <w:szCs w:val="32"/>
      </w:rPr>
      <w:t xml:space="preserve">TIP Sheet – </w:t>
    </w:r>
    <w:r>
      <w:rPr>
        <w:b/>
        <w:bCs/>
        <w:sz w:val="32"/>
        <w:szCs w:val="32"/>
      </w:rPr>
      <w:t xml:space="preserve">Healthcare Provider Registration with the </w:t>
    </w:r>
    <w:r w:rsidR="00C53447">
      <w:rPr>
        <w:b/>
        <w:bCs/>
        <w:sz w:val="32"/>
        <w:szCs w:val="32"/>
      </w:rPr>
      <w:t>MPDR</w:t>
    </w:r>
  </w:p>
  <w:p w14:paraId="27E9CAAA" w14:textId="16470221" w:rsidR="00C53447" w:rsidRPr="00C53447" w:rsidRDefault="00C53447" w:rsidP="00C53447">
    <w:pPr>
      <w:pStyle w:val="Header"/>
      <w:jc w:val="right"/>
      <w:rPr>
        <w:sz w:val="20"/>
        <w:szCs w:val="20"/>
      </w:rPr>
    </w:pPr>
    <w:r>
      <w:rPr>
        <w:sz w:val="20"/>
        <w:szCs w:val="20"/>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4B"/>
    <w:multiLevelType w:val="multilevel"/>
    <w:tmpl w:val="27C40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20282"/>
    <w:multiLevelType w:val="multilevel"/>
    <w:tmpl w:val="E4C86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36A5A"/>
    <w:multiLevelType w:val="multilevel"/>
    <w:tmpl w:val="7CA43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75D2E"/>
    <w:multiLevelType w:val="multilevel"/>
    <w:tmpl w:val="0FBAB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E7C6A"/>
    <w:multiLevelType w:val="multilevel"/>
    <w:tmpl w:val="6C78C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4A"/>
    <w:rsid w:val="00060D5B"/>
    <w:rsid w:val="000A5FBF"/>
    <w:rsid w:val="00143816"/>
    <w:rsid w:val="003348D4"/>
    <w:rsid w:val="00590B39"/>
    <w:rsid w:val="005A014A"/>
    <w:rsid w:val="0071404A"/>
    <w:rsid w:val="0082748C"/>
    <w:rsid w:val="00890B87"/>
    <w:rsid w:val="00B51C3D"/>
    <w:rsid w:val="00B922B8"/>
    <w:rsid w:val="00C5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82036"/>
  <w15:chartTrackingRefBased/>
  <w15:docId w15:val="{815D0F36-757F-4C34-8035-C13DA1E3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14A"/>
    <w:rPr>
      <w:color w:val="0000FF"/>
      <w:u w:val="single"/>
    </w:rPr>
  </w:style>
  <w:style w:type="paragraph" w:styleId="NormalWeb">
    <w:name w:val="Normal (Web)"/>
    <w:basedOn w:val="Normal"/>
    <w:uiPriority w:val="99"/>
    <w:semiHidden/>
    <w:unhideWhenUsed/>
    <w:rsid w:val="005A014A"/>
    <w:pPr>
      <w:spacing w:before="100" w:beforeAutospacing="1" w:after="100" w:afterAutospacing="1"/>
    </w:pPr>
  </w:style>
  <w:style w:type="character" w:styleId="Strong">
    <w:name w:val="Strong"/>
    <w:basedOn w:val="DefaultParagraphFont"/>
    <w:uiPriority w:val="22"/>
    <w:qFormat/>
    <w:rsid w:val="005A014A"/>
    <w:rPr>
      <w:b/>
      <w:bCs/>
    </w:rPr>
  </w:style>
  <w:style w:type="character" w:styleId="Emphasis">
    <w:name w:val="Emphasis"/>
    <w:basedOn w:val="DefaultParagraphFont"/>
    <w:uiPriority w:val="20"/>
    <w:qFormat/>
    <w:rsid w:val="005A014A"/>
    <w:rPr>
      <w:i/>
      <w:iCs/>
    </w:rPr>
  </w:style>
  <w:style w:type="paragraph" w:styleId="Header">
    <w:name w:val="header"/>
    <w:basedOn w:val="Normal"/>
    <w:link w:val="HeaderChar"/>
    <w:uiPriority w:val="99"/>
    <w:unhideWhenUsed/>
    <w:rsid w:val="005A014A"/>
    <w:pPr>
      <w:tabs>
        <w:tab w:val="center" w:pos="4680"/>
        <w:tab w:val="right" w:pos="9360"/>
      </w:tabs>
    </w:pPr>
  </w:style>
  <w:style w:type="character" w:customStyle="1" w:styleId="HeaderChar">
    <w:name w:val="Header Char"/>
    <w:basedOn w:val="DefaultParagraphFont"/>
    <w:link w:val="Header"/>
    <w:uiPriority w:val="99"/>
    <w:rsid w:val="005A014A"/>
    <w:rPr>
      <w:rFonts w:ascii="Calibri" w:hAnsi="Calibri" w:cs="Calibri"/>
    </w:rPr>
  </w:style>
  <w:style w:type="paragraph" w:styleId="Footer">
    <w:name w:val="footer"/>
    <w:basedOn w:val="Normal"/>
    <w:link w:val="FooterChar"/>
    <w:uiPriority w:val="99"/>
    <w:unhideWhenUsed/>
    <w:rsid w:val="005A014A"/>
    <w:pPr>
      <w:tabs>
        <w:tab w:val="center" w:pos="4680"/>
        <w:tab w:val="right" w:pos="9360"/>
      </w:tabs>
    </w:pPr>
  </w:style>
  <w:style w:type="character" w:customStyle="1" w:styleId="FooterChar">
    <w:name w:val="Footer Char"/>
    <w:basedOn w:val="DefaultParagraphFont"/>
    <w:link w:val="Footer"/>
    <w:uiPriority w:val="99"/>
    <w:rsid w:val="005A01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s.bsd.dli.mt.gov/_docs/pha/MT-QuickReferenceGuide_MakingPatientRequest_MPDR-PMP-AWARxE.pdf" TargetMode="External"/><Relationship Id="rId13" Type="http://schemas.openxmlformats.org/officeDocument/2006/relationships/hyperlink" Target="https://boards.bsd.dli.mt.gov/pharmacy/mpdr/users/ehr-integration" TargetMode="External"/><Relationship Id="rId18" Type="http://schemas.openxmlformats.org/officeDocument/2006/relationships/hyperlink" Target="https://boards.bsd.dli.mt.gov/_docs/pha/Montana-MPDR-Gateway-Integration-Guide.pdf" TargetMode="External"/><Relationship Id="rId3" Type="http://schemas.openxmlformats.org/officeDocument/2006/relationships/settings" Target="settings.xml"/><Relationship Id="rId21" Type="http://schemas.openxmlformats.org/officeDocument/2006/relationships/hyperlink" Target="https://pmpawarxe.zendesk.com/hc/en-us/" TargetMode="External"/><Relationship Id="rId7" Type="http://schemas.openxmlformats.org/officeDocument/2006/relationships/hyperlink" Target="https://montana.pmpaware.net/" TargetMode="External"/><Relationship Id="rId12" Type="http://schemas.openxmlformats.org/officeDocument/2006/relationships/hyperlink" Target="https://leg.mt.gov/bills/mca/title_0370/chapter_0070/part_0150/section_0150/0370-0070-0150-0150.html" TargetMode="External"/><Relationship Id="rId17" Type="http://schemas.openxmlformats.org/officeDocument/2006/relationships/hyperlink" Target="http://www.mpdr.mt.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ards.bsd.dli.mt.gov/_docs/pha/MT-PMPAWARxE_RegisteredUserGuide.pdf" TargetMode="External"/><Relationship Id="rId20" Type="http://schemas.openxmlformats.org/officeDocument/2006/relationships/hyperlink" Target="https://rules.mt.gov/gateway/Subchapterhome.asp?scn=24%2E174.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mt.gov/bills/mca/title_0370/chapter_0070/part_0150/section_0110/0370-0070-0150-0110.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oards.bsd.dli.mt.gov/_docs/pha/MT-QuickReferenceGuide_MakingPatientRequest_MPDR-PMP-AWARxE.pdf" TargetMode="External"/><Relationship Id="rId23" Type="http://schemas.openxmlformats.org/officeDocument/2006/relationships/header" Target="header1.xml"/><Relationship Id="rId10" Type="http://schemas.openxmlformats.org/officeDocument/2006/relationships/hyperlink" Target="https://leg.mt.gov/bills/mca/title_0370/chapter_0070/part_0150/section_0030/0370-0070-0150-0030.html" TargetMode="External"/><Relationship Id="rId19" Type="http://schemas.openxmlformats.org/officeDocument/2006/relationships/hyperlink" Target="https://leg.mt.gov/bills/mca/title_0370/chapter_0070/part_0150/sections_index.html" TargetMode="External"/><Relationship Id="rId4" Type="http://schemas.openxmlformats.org/officeDocument/2006/relationships/webSettings" Target="webSettings.xml"/><Relationship Id="rId9" Type="http://schemas.openxmlformats.org/officeDocument/2006/relationships/hyperlink" Target="https://boards.bsd.dli.mt.gov/_docs/pha/MT-PMPAWARxE_RegisteredUserGuide.pdf" TargetMode="External"/><Relationship Id="rId14" Type="http://schemas.openxmlformats.org/officeDocument/2006/relationships/hyperlink" Target="https://montana.pmpaware.net/" TargetMode="External"/><Relationship Id="rId22" Type="http://schemas.openxmlformats.org/officeDocument/2006/relationships/hyperlink" Target="mailto:dlibsdmpdr@mt.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B90A.161C3D80" TargetMode="External"/><Relationship Id="rId1" Type="http://schemas.openxmlformats.org/officeDocument/2006/relationships/image" Target="media/image1.png"/><Relationship Id="rId4" Type="http://schemas.openxmlformats.org/officeDocument/2006/relationships/image" Target="cid:image002.png@01D7B90A.161C3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Griffis, Nikki</dc:creator>
  <cp:keywords/>
  <dc:description/>
  <cp:lastModifiedBy>Griffis, Nikki</cp:lastModifiedBy>
  <cp:revision>7</cp:revision>
  <dcterms:created xsi:type="dcterms:W3CDTF">2022-01-05T18:08:00Z</dcterms:created>
  <dcterms:modified xsi:type="dcterms:W3CDTF">2022-01-11T17:03:00Z</dcterms:modified>
</cp:coreProperties>
</file>